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D02D" w14:textId="21CCCCB2" w:rsidR="006E1786" w:rsidRPr="0012435E" w:rsidRDefault="00510E6C" w:rsidP="0012435E">
      <w:pPr>
        <w:jc w:val="center"/>
        <w:rPr>
          <w:b/>
          <w:bCs/>
          <w:sz w:val="28"/>
          <w:szCs w:val="28"/>
        </w:rPr>
      </w:pPr>
      <w:r w:rsidRPr="0012435E">
        <w:rPr>
          <w:b/>
          <w:bCs/>
          <w:sz w:val="28"/>
          <w:szCs w:val="28"/>
        </w:rPr>
        <w:t>Pike County 708 Board Notice of Funding Availability</w:t>
      </w:r>
    </w:p>
    <w:p w14:paraId="48D59D1C" w14:textId="5012AD81" w:rsidR="00510E6C" w:rsidRPr="0012435E" w:rsidRDefault="00510E6C" w:rsidP="0012435E">
      <w:pPr>
        <w:jc w:val="center"/>
        <w:rPr>
          <w:b/>
          <w:bCs/>
          <w:sz w:val="24"/>
          <w:szCs w:val="24"/>
        </w:rPr>
      </w:pPr>
      <w:r w:rsidRPr="0012435E">
        <w:rPr>
          <w:b/>
          <w:bCs/>
          <w:sz w:val="24"/>
          <w:szCs w:val="24"/>
        </w:rPr>
        <w:t xml:space="preserve">FY 2023 (July 1, 2022 to June </w:t>
      </w:r>
      <w:r w:rsidR="007016E8" w:rsidRPr="0012435E">
        <w:rPr>
          <w:b/>
          <w:bCs/>
          <w:sz w:val="24"/>
          <w:szCs w:val="24"/>
        </w:rPr>
        <w:t>30,</w:t>
      </w:r>
      <w:r w:rsidRPr="0012435E">
        <w:rPr>
          <w:b/>
          <w:bCs/>
          <w:sz w:val="24"/>
          <w:szCs w:val="24"/>
        </w:rPr>
        <w:t xml:space="preserve"> 2023)</w:t>
      </w:r>
    </w:p>
    <w:p w14:paraId="7A2311E1" w14:textId="33168E36" w:rsidR="00510E6C" w:rsidRDefault="00510E6C">
      <w:r>
        <w:t xml:space="preserve">The Pike County 708 Board is seeking funding proposals for its fiscal year funding cycle. The Pike County 708 Board ensures there are services in Pike County in the areas of mental health, substance abuse prevention/intervention, and developmental/intellectual disabilities for all residents. Applications will be accepted from individuals, public, and private entities pursuant to the authority contained in the Community Mental Health Act, ILCS, Chapter 405, Act 20, Section 0.1, and et. Seq. </w:t>
      </w:r>
    </w:p>
    <w:p w14:paraId="035A7CF8" w14:textId="79006F64" w:rsidR="00510E6C" w:rsidRDefault="00510E6C">
      <w:r>
        <w:t xml:space="preserve">The Pike County 708 Board reserves the right to begin negotiations with selected providers for all, or a part of the proposal components. </w:t>
      </w:r>
    </w:p>
    <w:p w14:paraId="20BE371B" w14:textId="49AD705B" w:rsidR="00510E6C" w:rsidRPr="0012435E" w:rsidRDefault="00510E6C">
      <w:pPr>
        <w:rPr>
          <w:b/>
          <w:bCs/>
        </w:rPr>
      </w:pPr>
      <w:r w:rsidRPr="0012435E">
        <w:rPr>
          <w:b/>
          <w:bCs/>
        </w:rPr>
        <w:t xml:space="preserve">FY 2023 Total Funding Availability: </w:t>
      </w:r>
      <w:r w:rsidRPr="0012435E">
        <w:rPr>
          <w:b/>
          <w:bCs/>
          <w:u w:val="single"/>
        </w:rPr>
        <w:t>$120,000</w:t>
      </w:r>
      <w:r w:rsidR="0012435E">
        <w:rPr>
          <w:b/>
          <w:bCs/>
          <w:u w:val="single"/>
        </w:rPr>
        <w:t>.00</w:t>
      </w:r>
    </w:p>
    <w:p w14:paraId="78A0A181" w14:textId="5EDEE495" w:rsidR="00510E6C" w:rsidRPr="0012435E" w:rsidRDefault="00510E6C" w:rsidP="0012435E">
      <w:pPr>
        <w:jc w:val="center"/>
        <w:rPr>
          <w:b/>
          <w:bCs/>
          <w:u w:val="single"/>
        </w:rPr>
      </w:pPr>
      <w:r w:rsidRPr="0012435E">
        <w:rPr>
          <w:b/>
          <w:bCs/>
          <w:u w:val="single"/>
        </w:rPr>
        <w:t>Who May Apply:</w:t>
      </w:r>
    </w:p>
    <w:p w14:paraId="27F41454" w14:textId="554CE422" w:rsidR="00510E6C" w:rsidRDefault="00510E6C">
      <w:r>
        <w:t xml:space="preserve">Applications for funding may come from an individual, public, or private entity that provides mental health, substance abuse prevention/intervention, and/or intellectual/developmental disability services to residents of Pike County. The applicant must demonstrate sound business practices for a minimum of two years prior to the submission of an application. </w:t>
      </w:r>
    </w:p>
    <w:p w14:paraId="01D8E165" w14:textId="2477AE4F" w:rsidR="00510E6C" w:rsidRDefault="00510E6C">
      <w:r>
        <w:t xml:space="preserve">Both for-profit and not-for-profit corporation/organization are eligible to apply for funding. If an applicant is a not-for-profit, the agent must be registered as a not-for-profit organization, in good standing, with the Illinois Secretary of State and must be established as a Section 501c3 under the Internal Revenue Code. </w:t>
      </w:r>
    </w:p>
    <w:p w14:paraId="1E66C26D" w14:textId="52A84B51" w:rsidR="00A22854" w:rsidRDefault="00510E6C">
      <w:r>
        <w:t xml:space="preserve">Both must be appropriately licensed by the applicable state, national board or organization and demonstrate financial reliability and stability. It must demonstrate fiscal and administrative accountability. Applicants are encouraged to have a board of directors’ representative residing in Pike County. Any 708 board member with a conflict of interest related to an application will recuse themselves of voting on grant applications for that grant cycle. </w:t>
      </w:r>
    </w:p>
    <w:tbl>
      <w:tblPr>
        <w:tblStyle w:val="TableGrid"/>
        <w:tblW w:w="0" w:type="auto"/>
        <w:tblLook w:val="04A0" w:firstRow="1" w:lastRow="0" w:firstColumn="1" w:lastColumn="0" w:noHBand="0" w:noVBand="1"/>
      </w:tblPr>
      <w:tblGrid>
        <w:gridCol w:w="9350"/>
      </w:tblGrid>
      <w:tr w:rsidR="00D47365" w14:paraId="4756F061" w14:textId="77777777" w:rsidTr="00D47365">
        <w:tc>
          <w:tcPr>
            <w:tcW w:w="9350" w:type="dxa"/>
          </w:tcPr>
          <w:p w14:paraId="27BAE103" w14:textId="671F5D3D" w:rsidR="00D47365" w:rsidRPr="00D47365" w:rsidRDefault="00D47365" w:rsidP="00D47365">
            <w:pPr>
              <w:jc w:val="center"/>
              <w:rPr>
                <w:b/>
                <w:bCs/>
                <w:sz w:val="36"/>
                <w:szCs w:val="36"/>
              </w:rPr>
            </w:pPr>
            <w:r w:rsidRPr="00D47365">
              <w:rPr>
                <w:b/>
                <w:bCs/>
                <w:sz w:val="36"/>
                <w:szCs w:val="36"/>
              </w:rPr>
              <w:t>Funding Timeline:</w:t>
            </w:r>
          </w:p>
        </w:tc>
      </w:tr>
      <w:tr w:rsidR="00D47365" w14:paraId="46470206" w14:textId="77777777" w:rsidTr="00D47365">
        <w:tc>
          <w:tcPr>
            <w:tcW w:w="9350" w:type="dxa"/>
          </w:tcPr>
          <w:p w14:paraId="6D508D3B" w14:textId="63BD24D8" w:rsidR="00D47365" w:rsidRPr="00D47365" w:rsidRDefault="00D47365" w:rsidP="00D47365">
            <w:pPr>
              <w:jc w:val="center"/>
              <w:rPr>
                <w:sz w:val="28"/>
                <w:szCs w:val="28"/>
              </w:rPr>
            </w:pPr>
            <w:r w:rsidRPr="00D47365">
              <w:rPr>
                <w:sz w:val="28"/>
                <w:szCs w:val="28"/>
              </w:rPr>
              <w:t xml:space="preserve">Applications will be available on </w:t>
            </w:r>
            <w:r w:rsidRPr="00D47365">
              <w:rPr>
                <w:b/>
                <w:bCs/>
                <w:sz w:val="28"/>
                <w:szCs w:val="28"/>
              </w:rPr>
              <w:t>May 3, 2022</w:t>
            </w:r>
          </w:p>
        </w:tc>
      </w:tr>
      <w:tr w:rsidR="00D47365" w14:paraId="13E34B2E" w14:textId="77777777" w:rsidTr="00D47365">
        <w:tc>
          <w:tcPr>
            <w:tcW w:w="9350" w:type="dxa"/>
          </w:tcPr>
          <w:p w14:paraId="2D25881B" w14:textId="28436F8D" w:rsidR="00D47365" w:rsidRPr="00D47365" w:rsidRDefault="00D47365" w:rsidP="00D47365">
            <w:pPr>
              <w:jc w:val="center"/>
              <w:rPr>
                <w:sz w:val="28"/>
                <w:szCs w:val="28"/>
              </w:rPr>
            </w:pPr>
            <w:r w:rsidRPr="00D47365">
              <w:rPr>
                <w:sz w:val="28"/>
                <w:szCs w:val="28"/>
              </w:rPr>
              <w:t xml:space="preserve">Applications will be due by </w:t>
            </w:r>
            <w:r w:rsidRPr="00D47365">
              <w:rPr>
                <w:b/>
                <w:bCs/>
                <w:sz w:val="28"/>
                <w:szCs w:val="28"/>
              </w:rPr>
              <w:t>3 p.m., June 3, 2022</w:t>
            </w:r>
          </w:p>
        </w:tc>
      </w:tr>
      <w:tr w:rsidR="00D47365" w14:paraId="39666BD2" w14:textId="77777777" w:rsidTr="00D47365">
        <w:tc>
          <w:tcPr>
            <w:tcW w:w="9350" w:type="dxa"/>
          </w:tcPr>
          <w:p w14:paraId="3422B094" w14:textId="77777777" w:rsidR="00D47365" w:rsidRPr="00D47365" w:rsidRDefault="00D47365" w:rsidP="00D47365">
            <w:pPr>
              <w:jc w:val="center"/>
              <w:rPr>
                <w:sz w:val="28"/>
                <w:szCs w:val="28"/>
              </w:rPr>
            </w:pPr>
            <w:r w:rsidRPr="00D47365">
              <w:rPr>
                <w:sz w:val="28"/>
                <w:szCs w:val="28"/>
              </w:rPr>
              <w:t>(SEE below for submission guidelines)</w:t>
            </w:r>
          </w:p>
          <w:p w14:paraId="11C7CF3F" w14:textId="4E2CE9F0" w:rsidR="00D47365" w:rsidRPr="00D47365" w:rsidRDefault="00D47365" w:rsidP="00D47365">
            <w:pPr>
              <w:jc w:val="center"/>
              <w:rPr>
                <w:sz w:val="28"/>
                <w:szCs w:val="28"/>
              </w:rPr>
            </w:pPr>
            <w:r w:rsidRPr="00D47365">
              <w:rPr>
                <w:sz w:val="28"/>
                <w:szCs w:val="28"/>
              </w:rPr>
              <w:t xml:space="preserve">Funding Announcements will be made on </w:t>
            </w:r>
            <w:r w:rsidRPr="00D47365">
              <w:rPr>
                <w:b/>
                <w:bCs/>
                <w:sz w:val="28"/>
                <w:szCs w:val="28"/>
              </w:rPr>
              <w:t xml:space="preserve">June </w:t>
            </w:r>
            <w:r w:rsidR="00893693">
              <w:rPr>
                <w:b/>
                <w:bCs/>
                <w:sz w:val="28"/>
                <w:szCs w:val="28"/>
              </w:rPr>
              <w:t>10, 2022</w:t>
            </w:r>
          </w:p>
        </w:tc>
      </w:tr>
      <w:tr w:rsidR="00D47365" w14:paraId="0E28BA0C" w14:textId="77777777" w:rsidTr="00D47365">
        <w:tc>
          <w:tcPr>
            <w:tcW w:w="9350" w:type="dxa"/>
          </w:tcPr>
          <w:p w14:paraId="47C5225A" w14:textId="77777777" w:rsidR="00D47365" w:rsidRPr="00D47365" w:rsidRDefault="00D47365" w:rsidP="00D47365">
            <w:pPr>
              <w:jc w:val="center"/>
              <w:rPr>
                <w:sz w:val="24"/>
                <w:szCs w:val="24"/>
              </w:rPr>
            </w:pPr>
            <w:r w:rsidRPr="00D47365">
              <w:rPr>
                <w:sz w:val="24"/>
                <w:szCs w:val="24"/>
              </w:rPr>
              <w:t xml:space="preserve">Funding is for the Pike County 708 Board Funding cycle of July 2022 to June 30, 2023. </w:t>
            </w:r>
          </w:p>
          <w:p w14:paraId="0222F35A" w14:textId="77777777" w:rsidR="00D47365" w:rsidRDefault="00D47365" w:rsidP="00D47365">
            <w:pPr>
              <w:jc w:val="center"/>
              <w:rPr>
                <w:sz w:val="28"/>
                <w:szCs w:val="28"/>
              </w:rPr>
            </w:pPr>
            <w:r w:rsidRPr="00D47365">
              <w:rPr>
                <w:sz w:val="28"/>
                <w:szCs w:val="28"/>
              </w:rPr>
              <w:t xml:space="preserve">First Funding Installment will be made on July 1, 2022. </w:t>
            </w:r>
          </w:p>
          <w:p w14:paraId="29431927" w14:textId="5D117784" w:rsidR="00D47365" w:rsidRPr="00D47365" w:rsidRDefault="00D47365" w:rsidP="00D47365">
            <w:pPr>
              <w:jc w:val="center"/>
              <w:rPr>
                <w:sz w:val="28"/>
                <w:szCs w:val="28"/>
              </w:rPr>
            </w:pPr>
            <w:r w:rsidRPr="00D47365">
              <w:rPr>
                <w:sz w:val="28"/>
                <w:szCs w:val="28"/>
              </w:rPr>
              <w:t>Progress report will be due by 3 p.m. on October 15, 2022.</w:t>
            </w:r>
          </w:p>
        </w:tc>
      </w:tr>
      <w:tr w:rsidR="00D47365" w14:paraId="0DADB85D" w14:textId="77777777" w:rsidTr="00D47365">
        <w:tc>
          <w:tcPr>
            <w:tcW w:w="9350" w:type="dxa"/>
          </w:tcPr>
          <w:p w14:paraId="1B75485B" w14:textId="77777777" w:rsidR="00D47365" w:rsidRDefault="00D47365" w:rsidP="00D47365">
            <w:pPr>
              <w:jc w:val="center"/>
              <w:rPr>
                <w:sz w:val="28"/>
                <w:szCs w:val="28"/>
              </w:rPr>
            </w:pPr>
            <w:r w:rsidRPr="00D47365">
              <w:rPr>
                <w:sz w:val="28"/>
                <w:szCs w:val="28"/>
              </w:rPr>
              <w:t xml:space="preserve">Second Funding Installment will be made on October 30, 2022, pursuant to progress report. </w:t>
            </w:r>
          </w:p>
          <w:p w14:paraId="4B761FC5" w14:textId="11DE627E" w:rsidR="00D47365" w:rsidRPr="00D47365" w:rsidRDefault="00D47365" w:rsidP="00D47365">
            <w:pPr>
              <w:jc w:val="center"/>
              <w:rPr>
                <w:sz w:val="28"/>
                <w:szCs w:val="28"/>
              </w:rPr>
            </w:pPr>
            <w:r w:rsidRPr="00D47365">
              <w:rPr>
                <w:sz w:val="28"/>
                <w:szCs w:val="28"/>
              </w:rPr>
              <w:t>See application for further details regarding required progress report.</w:t>
            </w:r>
          </w:p>
        </w:tc>
      </w:tr>
    </w:tbl>
    <w:p w14:paraId="1D5E50F3" w14:textId="77777777" w:rsidR="00A22854" w:rsidRDefault="00A22854">
      <w:r>
        <w:br w:type="page"/>
      </w:r>
    </w:p>
    <w:p w14:paraId="71DD5239" w14:textId="78BC7EF4" w:rsidR="00510E6C" w:rsidRPr="008255A3" w:rsidRDefault="00A22854" w:rsidP="008255A3">
      <w:pPr>
        <w:jc w:val="center"/>
        <w:rPr>
          <w:b/>
          <w:bCs/>
          <w:u w:val="single"/>
        </w:rPr>
      </w:pPr>
      <w:r w:rsidRPr="008255A3">
        <w:rPr>
          <w:b/>
          <w:bCs/>
          <w:u w:val="single"/>
        </w:rPr>
        <w:lastRenderedPageBreak/>
        <w:t>Submission Guidelines:</w:t>
      </w:r>
    </w:p>
    <w:p w14:paraId="725F3FB0" w14:textId="079C77BF" w:rsidR="00A22854" w:rsidRDefault="00A22854" w:rsidP="008255A3">
      <w:pPr>
        <w:pStyle w:val="ListParagraph"/>
        <w:numPr>
          <w:ilvl w:val="0"/>
          <w:numId w:val="1"/>
        </w:numPr>
      </w:pPr>
      <w:r>
        <w:t>Forms can be obtained by</w:t>
      </w:r>
    </w:p>
    <w:p w14:paraId="18AA9C8D" w14:textId="13417426" w:rsidR="00A22854" w:rsidRDefault="00A22854" w:rsidP="007016E8">
      <w:pPr>
        <w:pStyle w:val="ListParagraph"/>
        <w:numPr>
          <w:ilvl w:val="0"/>
          <w:numId w:val="5"/>
        </w:numPr>
      </w:pPr>
      <w:r>
        <w:t xml:space="preserve">Downloading the application by the Pike County, IL website: </w:t>
      </w:r>
      <w:hyperlink r:id="rId7" w:history="1">
        <w:r w:rsidRPr="00356A6C">
          <w:rPr>
            <w:rStyle w:val="Hyperlink"/>
          </w:rPr>
          <w:t>www.pikecountyil.org</w:t>
        </w:r>
      </w:hyperlink>
      <w:r>
        <w:t xml:space="preserve"> </w:t>
      </w:r>
      <w:proofErr w:type="gramStart"/>
      <w:r>
        <w:t>or;</w:t>
      </w:r>
      <w:proofErr w:type="gramEnd"/>
    </w:p>
    <w:p w14:paraId="447868CC" w14:textId="247AE736" w:rsidR="00A22854" w:rsidRDefault="00A22854" w:rsidP="007016E8">
      <w:pPr>
        <w:pStyle w:val="ListParagraph"/>
        <w:numPr>
          <w:ilvl w:val="0"/>
          <w:numId w:val="5"/>
        </w:numPr>
      </w:pPr>
      <w:r>
        <w:t xml:space="preserve">Obtaining a blank application from: </w:t>
      </w:r>
      <w:r>
        <w:tab/>
      </w:r>
      <w:r w:rsidR="007016E8">
        <w:tab/>
      </w:r>
      <w:r>
        <w:t>Pike County Clerk</w:t>
      </w:r>
    </w:p>
    <w:p w14:paraId="09C8E7C1" w14:textId="5CAD833E" w:rsidR="00A22854" w:rsidRDefault="00A22854" w:rsidP="008255A3">
      <w:pPr>
        <w:pStyle w:val="ListParagraph"/>
        <w:numPr>
          <w:ilvl w:val="0"/>
          <w:numId w:val="2"/>
        </w:numPr>
        <w:spacing w:after="0"/>
      </w:pPr>
      <w:r>
        <w:t>Washington Street</w:t>
      </w:r>
    </w:p>
    <w:p w14:paraId="18EC4AB1" w14:textId="1A04BC9D" w:rsidR="00A22854" w:rsidRDefault="00A22854" w:rsidP="007016E8">
      <w:pPr>
        <w:spacing w:after="0"/>
        <w:ind w:left="5040" w:firstLine="720"/>
      </w:pPr>
      <w:r>
        <w:t>Pittsfield, IL 62363</w:t>
      </w:r>
    </w:p>
    <w:p w14:paraId="42C49D24" w14:textId="77777777" w:rsidR="007016E8" w:rsidRDefault="007016E8" w:rsidP="007016E8">
      <w:pPr>
        <w:spacing w:after="0"/>
        <w:ind w:left="5040" w:firstLine="720"/>
      </w:pPr>
    </w:p>
    <w:p w14:paraId="3DC409F7" w14:textId="5996037D" w:rsidR="00A22854" w:rsidRDefault="00A22854" w:rsidP="008255A3">
      <w:pPr>
        <w:pStyle w:val="ListParagraph"/>
        <w:numPr>
          <w:ilvl w:val="0"/>
          <w:numId w:val="1"/>
        </w:numPr>
      </w:pPr>
      <w:r>
        <w:t xml:space="preserve">Make a copy of the completed application for your files. Keep the last page for the Progress Report. If awarded funding, you will be required to submit a Progress Report based on the information provided on your application. </w:t>
      </w:r>
    </w:p>
    <w:p w14:paraId="6B10BC5B" w14:textId="77777777" w:rsidR="008255A3" w:rsidRDefault="008255A3" w:rsidP="007016E8">
      <w:pPr>
        <w:pStyle w:val="ListParagraph"/>
      </w:pPr>
    </w:p>
    <w:p w14:paraId="136FC852" w14:textId="5D9B9DDE" w:rsidR="00A22854" w:rsidRDefault="00A22854" w:rsidP="008255A3">
      <w:pPr>
        <w:pStyle w:val="ListParagraph"/>
        <w:numPr>
          <w:ilvl w:val="0"/>
          <w:numId w:val="1"/>
        </w:numPr>
      </w:pPr>
      <w:r>
        <w:t xml:space="preserve">Submit completed application, the required documentation, and SEVEN copies of BOTH the application AND required documents no later than 3 p.m. on June 3, 2022 to: </w:t>
      </w:r>
    </w:p>
    <w:p w14:paraId="6BB19E68" w14:textId="77777777" w:rsidR="00A22854" w:rsidRDefault="00A22854" w:rsidP="008255A3">
      <w:pPr>
        <w:pStyle w:val="ListParagraph"/>
      </w:pPr>
      <w:r>
        <w:t>Pike County Clerk</w:t>
      </w:r>
    </w:p>
    <w:p w14:paraId="1816E6A2" w14:textId="776CFDA5" w:rsidR="00A22854" w:rsidRDefault="00A22854" w:rsidP="008255A3">
      <w:pPr>
        <w:pStyle w:val="ListParagraph"/>
      </w:pPr>
      <w:r>
        <w:t>121 E Washington Street</w:t>
      </w:r>
    </w:p>
    <w:p w14:paraId="419A893A" w14:textId="6DD52AAA" w:rsidR="00A22854" w:rsidRDefault="00A22854" w:rsidP="008255A3">
      <w:pPr>
        <w:pStyle w:val="ListParagraph"/>
      </w:pPr>
      <w:r>
        <w:t>Pittsfield, IL 62363</w:t>
      </w:r>
    </w:p>
    <w:p w14:paraId="202E2455" w14:textId="77777777" w:rsidR="007016E8" w:rsidRDefault="007016E8" w:rsidP="007016E8">
      <w:pPr>
        <w:pStyle w:val="ListParagraph"/>
      </w:pPr>
    </w:p>
    <w:p w14:paraId="25D2B78B" w14:textId="778E10F9" w:rsidR="00A22854" w:rsidRPr="007016E8" w:rsidRDefault="00A22854" w:rsidP="007016E8">
      <w:pPr>
        <w:pStyle w:val="ListParagraph"/>
        <w:rPr>
          <w:i/>
          <w:iCs/>
        </w:rPr>
      </w:pPr>
      <w:r w:rsidRPr="007016E8">
        <w:rPr>
          <w:i/>
          <w:iCs/>
        </w:rPr>
        <w:t>Forms may NOT be submitted electronically</w:t>
      </w:r>
    </w:p>
    <w:p w14:paraId="6F86E9B6" w14:textId="20EBBE73" w:rsidR="00A22854" w:rsidRDefault="00A22854" w:rsidP="007016E8">
      <w:pPr>
        <w:ind w:firstLine="720"/>
      </w:pPr>
      <w:r>
        <w:t>If you have questions about the applications process, please contact Pike County 708 Board Chair, Pollee Craven at 217-320-9190.</w:t>
      </w:r>
    </w:p>
    <w:p w14:paraId="0EF5F75B" w14:textId="0D1F0CAB" w:rsidR="00A22854" w:rsidRDefault="00A22854" w:rsidP="00A22854"/>
    <w:p w14:paraId="7B35AED8" w14:textId="151D851C" w:rsidR="00A22854" w:rsidRPr="007016E8" w:rsidRDefault="00A22854" w:rsidP="007016E8">
      <w:pPr>
        <w:jc w:val="center"/>
        <w:rPr>
          <w:b/>
          <w:bCs/>
          <w:u w:val="single"/>
        </w:rPr>
      </w:pPr>
      <w:r w:rsidRPr="007016E8">
        <w:rPr>
          <w:b/>
          <w:bCs/>
          <w:u w:val="single"/>
        </w:rPr>
        <w:t>Evaluation Process:</w:t>
      </w:r>
    </w:p>
    <w:p w14:paraId="2888300E" w14:textId="4E00672A" w:rsidR="00A22854" w:rsidRDefault="00A22854" w:rsidP="00A22854">
      <w:r>
        <w:t xml:space="preserve">All allocations and contracting decisions are made in meetings open to the public. Allocation decisions will be based on statutory mandates, priorities, and defined criteria related to the needs-assessment completed in partnership with The Pike County Health and Wellness Foundation. Decisions will be prioritized based upon completion of the application process, submittal of required forms and documentation, and how well the application matches the statutory mandates, priorities, and criteria of the Pike County 708 Board. </w:t>
      </w:r>
    </w:p>
    <w:p w14:paraId="00829126" w14:textId="1B464DD3" w:rsidR="00A22854" w:rsidRDefault="00A22854" w:rsidP="00A22854">
      <w:r>
        <w:t xml:space="preserve">Emphasis will be placed on the proposal’s strength in addressing the criteria within the application. </w:t>
      </w:r>
    </w:p>
    <w:p w14:paraId="73246760" w14:textId="569EB1E7" w:rsidR="00A22854" w:rsidRDefault="00A22854" w:rsidP="00A22854"/>
    <w:p w14:paraId="211BD7A4" w14:textId="62EA22D0" w:rsidR="00A22854" w:rsidRPr="007016E8" w:rsidRDefault="00A22854" w:rsidP="007016E8">
      <w:pPr>
        <w:jc w:val="center"/>
        <w:rPr>
          <w:b/>
          <w:bCs/>
          <w:u w:val="single"/>
        </w:rPr>
      </w:pPr>
      <w:r w:rsidRPr="007016E8">
        <w:rPr>
          <w:b/>
          <w:bCs/>
          <w:u w:val="single"/>
        </w:rPr>
        <w:t>Notification Process:</w:t>
      </w:r>
    </w:p>
    <w:p w14:paraId="4B46768E" w14:textId="41AC6C14" w:rsidR="00A22854" w:rsidRDefault="00A22854" w:rsidP="00A22854">
      <w:r>
        <w:t xml:space="preserve">Funding recipients will be notified by mail, at the address provided on the application. </w:t>
      </w:r>
    </w:p>
    <w:p w14:paraId="0EBB14F5" w14:textId="76F07828" w:rsidR="00A22854" w:rsidRDefault="00A22854" w:rsidP="00A22854">
      <w:r>
        <w:t xml:space="preserve">Grant recipients must participate in the formal funding award announcement and photo. </w:t>
      </w:r>
    </w:p>
    <w:p w14:paraId="023E7DC9" w14:textId="77777777" w:rsidR="00A22854" w:rsidRDefault="00A22854">
      <w:r>
        <w:br w:type="page"/>
      </w:r>
    </w:p>
    <w:p w14:paraId="67E27D5E" w14:textId="295610EE" w:rsidR="00A22854" w:rsidRPr="007016E8" w:rsidRDefault="00A22854" w:rsidP="007016E8">
      <w:pPr>
        <w:jc w:val="center"/>
        <w:rPr>
          <w:b/>
          <w:bCs/>
          <w:u w:val="single"/>
        </w:rPr>
      </w:pPr>
      <w:r w:rsidRPr="007016E8">
        <w:rPr>
          <w:b/>
          <w:bCs/>
          <w:u w:val="single"/>
        </w:rPr>
        <w:lastRenderedPageBreak/>
        <w:t>Progress Report Requirements:</w:t>
      </w:r>
    </w:p>
    <w:p w14:paraId="65D44589" w14:textId="7E971392" w:rsidR="00A22854" w:rsidRDefault="00A22854" w:rsidP="00A22854">
      <w:r>
        <w:t xml:space="preserve">Pike County 708 Board contracts shall specify the relationship between funding and the services provided to Pike County residents. </w:t>
      </w:r>
    </w:p>
    <w:p w14:paraId="04D6C4F3" w14:textId="47976704" w:rsidR="00A22854" w:rsidRDefault="00A22854" w:rsidP="00A22854">
      <w:r>
        <w:t xml:space="preserve">Funding shall not be used for purposes other than those specified in the application. </w:t>
      </w:r>
    </w:p>
    <w:p w14:paraId="1657EABC" w14:textId="5BEAB927" w:rsidR="00A22854" w:rsidRDefault="00A22854" w:rsidP="00A22854">
      <w:r>
        <w:t xml:space="preserve">All funding is for the sole purpose of providing direct services to Pike County residents. It may only be used for the specific services reported in the submitted application. </w:t>
      </w:r>
    </w:p>
    <w:p w14:paraId="56CDF312" w14:textId="24599306" w:rsidR="00A22854" w:rsidRDefault="00A22854" w:rsidP="00A22854">
      <w:r>
        <w:t xml:space="preserve">It is not to be used to pay for services provided in the past, but to fund future services as outlined in the application. </w:t>
      </w:r>
    </w:p>
    <w:p w14:paraId="1B6A0156" w14:textId="76A10E2C" w:rsidR="00A22854" w:rsidRDefault="00A22854" w:rsidP="00A22854">
      <w:r>
        <w:t xml:space="preserve">Recipients will be required to provide a Progress Report to the Pike County 708 Board no later than October 15, 2022. </w:t>
      </w:r>
    </w:p>
    <w:p w14:paraId="1BA9B3F5" w14:textId="6EF154B3" w:rsidR="00A22854" w:rsidRDefault="00A22854" w:rsidP="00A22854">
      <w:r>
        <w:t xml:space="preserve">Required information will include: </w:t>
      </w:r>
    </w:p>
    <w:p w14:paraId="3B4B3E6E" w14:textId="13F87D45" w:rsidR="00A22854" w:rsidRDefault="00A22854" w:rsidP="007016E8">
      <w:pPr>
        <w:pStyle w:val="ListParagraph"/>
        <w:numPr>
          <w:ilvl w:val="0"/>
          <w:numId w:val="3"/>
        </w:numPr>
      </w:pPr>
      <w:r>
        <w:t xml:space="preserve">A report of money spent toward program </w:t>
      </w:r>
      <w:proofErr w:type="gramStart"/>
      <w:r>
        <w:t>objectives;</w:t>
      </w:r>
      <w:proofErr w:type="gramEnd"/>
    </w:p>
    <w:p w14:paraId="22C0BD0E" w14:textId="3708FF77" w:rsidR="00A22854" w:rsidRDefault="00A22854" w:rsidP="007016E8">
      <w:pPr>
        <w:pStyle w:val="ListParagraph"/>
        <w:numPr>
          <w:ilvl w:val="0"/>
          <w:numId w:val="3"/>
        </w:numPr>
      </w:pPr>
      <w:r>
        <w:t>The effectiveness of the services provided toward the program objective, method of evaluating the effectiveness, as well as any data accumulated;</w:t>
      </w:r>
    </w:p>
    <w:p w14:paraId="6F3D45B4" w14:textId="4F9AFA00" w:rsidR="00A22854" w:rsidRDefault="00A22854" w:rsidP="007016E8">
      <w:pPr>
        <w:pStyle w:val="ListParagraph"/>
        <w:numPr>
          <w:ilvl w:val="0"/>
          <w:numId w:val="3"/>
        </w:numPr>
      </w:pPr>
      <w:r>
        <w:t>Progress made toward goals/benchmarks that were provided on the application;</w:t>
      </w:r>
    </w:p>
    <w:p w14:paraId="0775B67C" w14:textId="759B133F" w:rsidR="00A22854" w:rsidRDefault="00A22854" w:rsidP="007016E8">
      <w:pPr>
        <w:pStyle w:val="ListParagraph"/>
        <w:numPr>
          <w:ilvl w:val="0"/>
          <w:numId w:val="3"/>
        </w:numPr>
      </w:pPr>
      <w:r>
        <w:t xml:space="preserve">Total number of Pike County residents served July 1, 2022 – October 1, 2022, and the type of services provided to those Pike County residents. </w:t>
      </w:r>
    </w:p>
    <w:p w14:paraId="360431FA" w14:textId="2F16AD15" w:rsidR="00A22854" w:rsidRDefault="00A22854"/>
    <w:p w14:paraId="13FAC849" w14:textId="25349EBB" w:rsidR="00D47365" w:rsidRPr="007016E8" w:rsidRDefault="00D47365" w:rsidP="007016E8">
      <w:pPr>
        <w:jc w:val="center"/>
        <w:rPr>
          <w:b/>
          <w:bCs/>
        </w:rPr>
      </w:pPr>
      <w:r w:rsidRPr="007016E8">
        <w:rPr>
          <w:b/>
          <w:bCs/>
        </w:rPr>
        <w:t>To ensure that your application is complete, please review:</w:t>
      </w:r>
    </w:p>
    <w:p w14:paraId="77BA696E" w14:textId="283E0AB4" w:rsidR="00D47365" w:rsidRDefault="00D47365" w:rsidP="007016E8">
      <w:pPr>
        <w:pStyle w:val="ListParagraph"/>
        <w:numPr>
          <w:ilvl w:val="0"/>
          <w:numId w:val="4"/>
        </w:numPr>
      </w:pPr>
      <w:r>
        <w:t>FY 2023 Application</w:t>
      </w:r>
    </w:p>
    <w:p w14:paraId="6F2D69FD" w14:textId="457CADFE" w:rsidR="00D47365" w:rsidRDefault="00D47365" w:rsidP="007016E8">
      <w:pPr>
        <w:pStyle w:val="ListParagraph"/>
        <w:numPr>
          <w:ilvl w:val="0"/>
          <w:numId w:val="4"/>
        </w:numPr>
      </w:pPr>
      <w:r>
        <w:t>Budget documents – current year’s operating budget documents to include both projected expenses and revenues</w:t>
      </w:r>
    </w:p>
    <w:p w14:paraId="5B2BCF66" w14:textId="2110FD74" w:rsidR="00D47365" w:rsidRDefault="00D47365" w:rsidP="007016E8">
      <w:pPr>
        <w:pStyle w:val="ListParagraph"/>
        <w:numPr>
          <w:ilvl w:val="0"/>
          <w:numId w:val="4"/>
        </w:numPr>
      </w:pPr>
      <w:r>
        <w:t>Program budget</w:t>
      </w:r>
    </w:p>
    <w:p w14:paraId="23D8097C" w14:textId="1045FDEE" w:rsidR="00D47365" w:rsidRDefault="00D47365" w:rsidP="007016E8">
      <w:pPr>
        <w:pStyle w:val="ListParagraph"/>
        <w:numPr>
          <w:ilvl w:val="0"/>
          <w:numId w:val="4"/>
        </w:numPr>
      </w:pPr>
      <w:r>
        <w:t>Board of Directors information (if applicable)</w:t>
      </w:r>
    </w:p>
    <w:p w14:paraId="682B4BE1" w14:textId="115FCF4C" w:rsidR="00D47365" w:rsidRDefault="00D47365" w:rsidP="007016E8">
      <w:pPr>
        <w:pStyle w:val="ListParagraph"/>
        <w:numPr>
          <w:ilvl w:val="0"/>
          <w:numId w:val="4"/>
        </w:numPr>
      </w:pPr>
      <w:r>
        <w:t>Most recent Annual Report</w:t>
      </w:r>
    </w:p>
    <w:p w14:paraId="23A04F1B" w14:textId="58079700" w:rsidR="00D47365" w:rsidRDefault="00D47365"/>
    <w:p w14:paraId="3638ACD3" w14:textId="0BCD3A35" w:rsidR="00D47365" w:rsidRDefault="00D47365">
      <w:pPr>
        <w:rPr>
          <w:i/>
          <w:iCs/>
        </w:rPr>
      </w:pPr>
      <w:r w:rsidRPr="007016E8">
        <w:rPr>
          <w:i/>
          <w:iCs/>
        </w:rPr>
        <w:t xml:space="preserve">Information provided is required to ensure the applicant meets the standards and requirements stated in the document. </w:t>
      </w:r>
    </w:p>
    <w:p w14:paraId="5B3ECBB5" w14:textId="079A7F45" w:rsidR="007016E8" w:rsidRDefault="007016E8">
      <w:pPr>
        <w:rPr>
          <w:i/>
          <w:iCs/>
        </w:rPr>
      </w:pPr>
    </w:p>
    <w:sectPr w:rsidR="007016E8" w:rsidSect="00EF5F6E">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8052" w14:textId="77777777" w:rsidR="009634EE" w:rsidRDefault="009634EE" w:rsidP="00A22854">
      <w:pPr>
        <w:spacing w:after="0" w:line="240" w:lineRule="auto"/>
      </w:pPr>
      <w:r>
        <w:separator/>
      </w:r>
    </w:p>
  </w:endnote>
  <w:endnote w:type="continuationSeparator" w:id="0">
    <w:p w14:paraId="6B13BE7B" w14:textId="77777777" w:rsidR="009634EE" w:rsidRDefault="009634EE" w:rsidP="00A2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059259"/>
      <w:docPartObj>
        <w:docPartGallery w:val="Page Numbers (Bottom of Page)"/>
        <w:docPartUnique/>
      </w:docPartObj>
    </w:sdtPr>
    <w:sdtEndPr>
      <w:rPr>
        <w:noProof/>
      </w:rPr>
    </w:sdtEndPr>
    <w:sdtContent>
      <w:p w14:paraId="0AD6E2D5" w14:textId="6003B43F" w:rsidR="00A22854" w:rsidRDefault="00A2285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1232B17" w14:textId="77777777" w:rsidR="00A22854" w:rsidRDefault="00A22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A49A" w14:textId="77777777" w:rsidR="009634EE" w:rsidRDefault="009634EE" w:rsidP="00A22854">
      <w:pPr>
        <w:spacing w:after="0" w:line="240" w:lineRule="auto"/>
      </w:pPr>
      <w:r>
        <w:separator/>
      </w:r>
    </w:p>
  </w:footnote>
  <w:footnote w:type="continuationSeparator" w:id="0">
    <w:p w14:paraId="5BC429E2" w14:textId="77777777" w:rsidR="009634EE" w:rsidRDefault="009634EE" w:rsidP="00A22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0A8"/>
    <w:multiLevelType w:val="hybridMultilevel"/>
    <w:tmpl w:val="2802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05935"/>
    <w:multiLevelType w:val="hybridMultilevel"/>
    <w:tmpl w:val="6B0C4480"/>
    <w:lvl w:ilvl="0" w:tplc="805CF1A2">
      <w:start w:val="12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 w15:restartNumberingAfterBreak="0">
    <w:nsid w:val="50550ABD"/>
    <w:multiLevelType w:val="hybridMultilevel"/>
    <w:tmpl w:val="298073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027E3"/>
    <w:multiLevelType w:val="hybridMultilevel"/>
    <w:tmpl w:val="2DD4AB8E"/>
    <w:lvl w:ilvl="0" w:tplc="A3F8F3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EB9797D"/>
    <w:multiLevelType w:val="hybridMultilevel"/>
    <w:tmpl w:val="F712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6C"/>
    <w:rsid w:val="0012435E"/>
    <w:rsid w:val="004415FD"/>
    <w:rsid w:val="00510E6C"/>
    <w:rsid w:val="006E1786"/>
    <w:rsid w:val="007016E8"/>
    <w:rsid w:val="008255A3"/>
    <w:rsid w:val="00893693"/>
    <w:rsid w:val="009634EE"/>
    <w:rsid w:val="00A22854"/>
    <w:rsid w:val="00D02731"/>
    <w:rsid w:val="00D47365"/>
    <w:rsid w:val="00DC1708"/>
    <w:rsid w:val="00EF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07B1"/>
  <w15:chartTrackingRefBased/>
  <w15:docId w15:val="{879F15CE-0364-4286-A50B-4F3846C1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854"/>
  </w:style>
  <w:style w:type="paragraph" w:styleId="Footer">
    <w:name w:val="footer"/>
    <w:basedOn w:val="Normal"/>
    <w:link w:val="FooterChar"/>
    <w:uiPriority w:val="99"/>
    <w:unhideWhenUsed/>
    <w:rsid w:val="00A22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854"/>
  </w:style>
  <w:style w:type="character" w:styleId="Hyperlink">
    <w:name w:val="Hyperlink"/>
    <w:basedOn w:val="DefaultParagraphFont"/>
    <w:uiPriority w:val="99"/>
    <w:unhideWhenUsed/>
    <w:rsid w:val="00A22854"/>
    <w:rPr>
      <w:color w:val="0563C1" w:themeColor="hyperlink"/>
      <w:u w:val="single"/>
    </w:rPr>
  </w:style>
  <w:style w:type="character" w:styleId="UnresolvedMention">
    <w:name w:val="Unresolved Mention"/>
    <w:basedOn w:val="DefaultParagraphFont"/>
    <w:uiPriority w:val="99"/>
    <w:semiHidden/>
    <w:unhideWhenUsed/>
    <w:rsid w:val="00A22854"/>
    <w:rPr>
      <w:color w:val="605E5C"/>
      <w:shd w:val="clear" w:color="auto" w:fill="E1DFDD"/>
    </w:rPr>
  </w:style>
  <w:style w:type="table" w:styleId="TableGrid">
    <w:name w:val="Table Grid"/>
    <w:basedOn w:val="TableNormal"/>
    <w:uiPriority w:val="39"/>
    <w:rsid w:val="00D4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ikecounty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Mendenhall, Christie</dc:creator>
  <cp:keywords/>
  <dc:description/>
  <cp:lastModifiedBy>Natalie Roseberry</cp:lastModifiedBy>
  <cp:revision>2</cp:revision>
  <cp:lastPrinted>2022-04-25T19:45:00Z</cp:lastPrinted>
  <dcterms:created xsi:type="dcterms:W3CDTF">2022-04-28T16:35:00Z</dcterms:created>
  <dcterms:modified xsi:type="dcterms:W3CDTF">2022-04-28T16:35:00Z</dcterms:modified>
</cp:coreProperties>
</file>